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26CF5" w14:textId="77777777" w:rsidR="00AA3EF3" w:rsidRPr="001132F5" w:rsidRDefault="00AA3EF3" w:rsidP="008010D7">
      <w:pPr>
        <w:ind w:right="-1"/>
        <w:rPr>
          <w:rFonts w:ascii="Arial" w:hAnsi="Arial" w:cs="Arial"/>
          <w:sz w:val="24"/>
          <w:szCs w:val="24"/>
        </w:rPr>
      </w:pPr>
    </w:p>
    <w:p w14:paraId="09EAB731" w14:textId="77777777" w:rsidR="00E10E84" w:rsidRDefault="00E10E84" w:rsidP="00E10E84">
      <w:pPr>
        <w:rPr>
          <w:sz w:val="24"/>
          <w:szCs w:val="24"/>
        </w:rPr>
      </w:pPr>
    </w:p>
    <w:p w14:paraId="0C829185" w14:textId="77777777" w:rsidR="00E10E84" w:rsidRDefault="00E10E84" w:rsidP="00D71EB0">
      <w:pPr>
        <w:jc w:val="both"/>
        <w:rPr>
          <w:sz w:val="24"/>
          <w:szCs w:val="24"/>
        </w:rPr>
      </w:pPr>
      <w:r w:rsidRPr="00E10E84">
        <w:rPr>
          <w:sz w:val="24"/>
          <w:szCs w:val="24"/>
        </w:rPr>
        <w:t xml:space="preserve">La nuova edizione </w:t>
      </w:r>
      <w:proofErr w:type="spellStart"/>
      <w:r w:rsidRPr="00E10E84">
        <w:rPr>
          <w:sz w:val="24"/>
          <w:szCs w:val="24"/>
        </w:rPr>
        <w:t>Openschool</w:t>
      </w:r>
      <w:proofErr w:type="spellEnd"/>
      <w:r w:rsidRPr="00E10E84">
        <w:rPr>
          <w:sz w:val="24"/>
          <w:szCs w:val="24"/>
        </w:rPr>
        <w:t xml:space="preserve"> del </w:t>
      </w:r>
      <w:r w:rsidRPr="00E10E84">
        <w:rPr>
          <w:i/>
          <w:iCs/>
          <w:sz w:val="24"/>
          <w:szCs w:val="24"/>
        </w:rPr>
        <w:t>Corso di economia, estimo, marketing e legislazione</w:t>
      </w:r>
      <w:r w:rsidRPr="00E10E84">
        <w:rPr>
          <w:sz w:val="24"/>
          <w:szCs w:val="24"/>
        </w:rPr>
        <w:t xml:space="preserve"> per l’indirizzo Agraria, agroalimentare e agroindustria degli Istituti Tecnici di S. Amicabile, Hoepli editore, si propone, in due volumi, rinnovata e integrata per le attività dell’intero corso. Questa nuova edizione</w:t>
      </w:r>
      <w:r>
        <w:rPr>
          <w:sz w:val="24"/>
          <w:szCs w:val="24"/>
        </w:rPr>
        <w:t>,</w:t>
      </w:r>
      <w:r w:rsidRPr="00E10E84">
        <w:rPr>
          <w:sz w:val="24"/>
          <w:szCs w:val="24"/>
        </w:rPr>
        <w:t xml:space="preserve"> completa e aggiornata</w:t>
      </w:r>
      <w:r>
        <w:rPr>
          <w:sz w:val="24"/>
          <w:szCs w:val="24"/>
        </w:rPr>
        <w:t xml:space="preserve">, </w:t>
      </w:r>
      <w:r w:rsidRPr="00E10E84">
        <w:rPr>
          <w:sz w:val="24"/>
          <w:szCs w:val="24"/>
        </w:rPr>
        <w:t xml:space="preserve">è stata </w:t>
      </w:r>
      <w:r>
        <w:rPr>
          <w:sz w:val="24"/>
          <w:szCs w:val="24"/>
        </w:rPr>
        <w:t xml:space="preserve">ulteriormente </w:t>
      </w:r>
      <w:r w:rsidRPr="00E10E84">
        <w:rPr>
          <w:sz w:val="24"/>
          <w:szCs w:val="24"/>
        </w:rPr>
        <w:t xml:space="preserve">calibrata sulla figura dell’operatore agricolo, come imprenditore, professionista o semplice lavoratore. </w:t>
      </w:r>
    </w:p>
    <w:p w14:paraId="08155012" w14:textId="77777777" w:rsidR="00E10E84" w:rsidRPr="00E10E84" w:rsidRDefault="00E10E84" w:rsidP="00D71EB0">
      <w:pPr>
        <w:jc w:val="both"/>
        <w:rPr>
          <w:sz w:val="24"/>
          <w:szCs w:val="24"/>
        </w:rPr>
      </w:pPr>
      <w:r w:rsidRPr="00E10E84">
        <w:rPr>
          <w:sz w:val="24"/>
          <w:szCs w:val="24"/>
        </w:rPr>
        <w:t xml:space="preserve">Il primo volume, basato sui capisaldi dell’economia politica e dell’economia agraria, recepisce le linee guida ministeriali stabilite per l’insegnamento della disciplina nei nuovi Istituti Tecnici. </w:t>
      </w:r>
    </w:p>
    <w:p w14:paraId="34AD7138" w14:textId="77777777" w:rsidR="00E10E84" w:rsidRPr="00E10E84" w:rsidRDefault="00E10E84" w:rsidP="00D71EB0">
      <w:pPr>
        <w:jc w:val="both"/>
        <w:rPr>
          <w:sz w:val="24"/>
          <w:szCs w:val="24"/>
        </w:rPr>
      </w:pPr>
      <w:r w:rsidRPr="00E10E84">
        <w:rPr>
          <w:sz w:val="24"/>
          <w:szCs w:val="24"/>
        </w:rPr>
        <w:t xml:space="preserve">La parte di economia politica fornisce le conoscenze di base per la comprensione del contesto globale in cui è inserita l’azienda agraria e le informazioni basilari per la successiva analisi dei redditi nei bilanci aziendali, tra cui quelle relative al sistema fiscale. </w:t>
      </w:r>
    </w:p>
    <w:p w14:paraId="7CDD5166" w14:textId="77777777" w:rsidR="00E10E84" w:rsidRPr="00E10E84" w:rsidRDefault="00E10E84" w:rsidP="00D71EB0">
      <w:pPr>
        <w:jc w:val="both"/>
        <w:rPr>
          <w:sz w:val="24"/>
          <w:szCs w:val="24"/>
        </w:rPr>
      </w:pPr>
      <w:r w:rsidRPr="00E10E84">
        <w:rPr>
          <w:sz w:val="24"/>
          <w:szCs w:val="24"/>
        </w:rPr>
        <w:t>La parte di economia agraria prende in considerazione le principali attività del settore, al fine di determinare la redditività di un’attività agricola sulla base dei dati necessari. Per tale scopo (e anche per le stime, trattate nel secondo volume) viene fornito, allegato al testo, il Prontuario.</w:t>
      </w:r>
    </w:p>
    <w:p w14:paraId="5188B103" w14:textId="77777777" w:rsidR="00E10E84" w:rsidRDefault="00E10E84" w:rsidP="00D71EB0">
      <w:pPr>
        <w:jc w:val="both"/>
        <w:rPr>
          <w:sz w:val="24"/>
          <w:szCs w:val="24"/>
        </w:rPr>
      </w:pPr>
      <w:r w:rsidRPr="00E10E84">
        <w:rPr>
          <w:sz w:val="24"/>
          <w:szCs w:val="24"/>
        </w:rPr>
        <w:t xml:space="preserve">Sull’attività di gestione dell’azienda si inserisce la parte di contabilità, con informazioni utili per la gestione commerciale dell’azienda (vendita dei prodotti, pagamenti dei fornitori). </w:t>
      </w:r>
    </w:p>
    <w:p w14:paraId="03FB9CC8" w14:textId="77777777" w:rsidR="00E10E84" w:rsidRPr="00E10E84" w:rsidRDefault="00E10E84" w:rsidP="00D71EB0">
      <w:pPr>
        <w:jc w:val="both"/>
        <w:rPr>
          <w:sz w:val="24"/>
          <w:szCs w:val="24"/>
        </w:rPr>
      </w:pPr>
      <w:r w:rsidRPr="00E10E84">
        <w:rPr>
          <w:sz w:val="24"/>
          <w:szCs w:val="24"/>
        </w:rPr>
        <w:t>Questa edizione si arricchisce anche di contenuti aggiuntivi, come la matematica finanziaria, in forma sintetica applicata all’estimo agrario, e una breve storia del pensiero economico e dell’agricoltura, che costituisce un presupposto culturale spesso utile per la comprensione generale dell’economia e del mondo agrario.</w:t>
      </w:r>
    </w:p>
    <w:p w14:paraId="66BA4C37" w14:textId="77777777" w:rsidR="00E10E84" w:rsidRPr="00E10E84" w:rsidRDefault="00E10E84" w:rsidP="00D71EB0">
      <w:pPr>
        <w:jc w:val="both"/>
        <w:rPr>
          <w:sz w:val="24"/>
          <w:szCs w:val="24"/>
        </w:rPr>
      </w:pPr>
      <w:r w:rsidRPr="00E10E84">
        <w:rPr>
          <w:sz w:val="24"/>
          <w:szCs w:val="24"/>
        </w:rPr>
        <w:t xml:space="preserve">Nella parte di estimo, per il quinto anno, le procedure di stima, secondo i principi della scuola estimativa italiana e internazionale, sono state rese più snelle e orientate sempre </w:t>
      </w:r>
      <w:r>
        <w:rPr>
          <w:sz w:val="24"/>
          <w:szCs w:val="24"/>
        </w:rPr>
        <w:t xml:space="preserve">più </w:t>
      </w:r>
      <w:r w:rsidRPr="00E10E84">
        <w:rPr>
          <w:sz w:val="24"/>
          <w:szCs w:val="24"/>
        </w:rPr>
        <w:t>agli aspetti pratici nella prospettiva immediata dell’esame di Stato</w:t>
      </w:r>
      <w:r>
        <w:rPr>
          <w:sz w:val="24"/>
          <w:szCs w:val="24"/>
        </w:rPr>
        <w:t>, con un incremento consistente delle esercitazioni svolte</w:t>
      </w:r>
      <w:r w:rsidRPr="00E10E84">
        <w:rPr>
          <w:sz w:val="24"/>
          <w:szCs w:val="24"/>
        </w:rPr>
        <w:t xml:space="preserve">. </w:t>
      </w:r>
    </w:p>
    <w:p w14:paraId="140AD697" w14:textId="77777777" w:rsidR="00E10E84" w:rsidRDefault="00E10E84" w:rsidP="00D71EB0">
      <w:pPr>
        <w:jc w:val="both"/>
        <w:rPr>
          <w:sz w:val="24"/>
          <w:szCs w:val="24"/>
        </w:rPr>
      </w:pPr>
      <w:r w:rsidRPr="00E10E84">
        <w:rPr>
          <w:sz w:val="24"/>
          <w:szCs w:val="24"/>
        </w:rPr>
        <w:t xml:space="preserve">Ogni capitolo è integrato con una breve sintesi dei contenuti e con suggerimenti per supportare il lavoro dell’insegnante con attività </w:t>
      </w:r>
      <w:r>
        <w:rPr>
          <w:sz w:val="24"/>
          <w:szCs w:val="24"/>
        </w:rPr>
        <w:t xml:space="preserve">pratiche, soprattutto in laboratorio </w:t>
      </w:r>
      <w:r w:rsidRPr="00E10E84">
        <w:rPr>
          <w:sz w:val="24"/>
          <w:szCs w:val="24"/>
        </w:rPr>
        <w:t>con l’utilizzo del foglio elettronico di calcolo</w:t>
      </w:r>
      <w:r>
        <w:rPr>
          <w:sz w:val="24"/>
          <w:szCs w:val="24"/>
        </w:rPr>
        <w:t>.</w:t>
      </w:r>
    </w:p>
    <w:p w14:paraId="7ED714F3" w14:textId="77777777" w:rsidR="00E10E84" w:rsidRDefault="00E10E84" w:rsidP="00D71EB0">
      <w:pPr>
        <w:jc w:val="both"/>
        <w:rPr>
          <w:sz w:val="24"/>
          <w:szCs w:val="24"/>
        </w:rPr>
      </w:pPr>
      <w:r w:rsidRPr="00E10E84">
        <w:rPr>
          <w:sz w:val="24"/>
          <w:szCs w:val="24"/>
        </w:rPr>
        <w:t xml:space="preserve">Infine </w:t>
      </w:r>
      <w:r>
        <w:rPr>
          <w:sz w:val="24"/>
          <w:szCs w:val="24"/>
        </w:rPr>
        <w:t xml:space="preserve">il nuovo aspetto </w:t>
      </w:r>
      <w:r w:rsidRPr="00E10E84">
        <w:rPr>
          <w:sz w:val="24"/>
          <w:szCs w:val="24"/>
        </w:rPr>
        <w:t xml:space="preserve">grafico </w:t>
      </w:r>
      <w:r>
        <w:rPr>
          <w:sz w:val="24"/>
          <w:szCs w:val="24"/>
        </w:rPr>
        <w:t xml:space="preserve">è </w:t>
      </w:r>
      <w:r w:rsidRPr="00E10E84">
        <w:rPr>
          <w:sz w:val="24"/>
          <w:szCs w:val="24"/>
        </w:rPr>
        <w:t>più funzionale all’attività didattica</w:t>
      </w:r>
      <w:r>
        <w:rPr>
          <w:sz w:val="24"/>
          <w:szCs w:val="24"/>
        </w:rPr>
        <w:t xml:space="preserve">, con </w:t>
      </w:r>
      <w:r w:rsidRPr="00E10E84">
        <w:rPr>
          <w:sz w:val="24"/>
          <w:szCs w:val="24"/>
        </w:rPr>
        <w:t xml:space="preserve">informazioni aggiuntive </w:t>
      </w:r>
      <w:r>
        <w:rPr>
          <w:sz w:val="24"/>
          <w:szCs w:val="24"/>
        </w:rPr>
        <w:t xml:space="preserve">nel colonnino laterale </w:t>
      </w:r>
      <w:r w:rsidRPr="00E10E84">
        <w:rPr>
          <w:sz w:val="24"/>
          <w:szCs w:val="24"/>
        </w:rPr>
        <w:t>che integrano o rendono più interessanti le informazioni essenziali</w:t>
      </w:r>
      <w:r>
        <w:rPr>
          <w:sz w:val="24"/>
          <w:szCs w:val="24"/>
        </w:rPr>
        <w:t>.</w:t>
      </w:r>
    </w:p>
    <w:p w14:paraId="1C4BB407" w14:textId="77777777" w:rsidR="00E10E84" w:rsidRPr="00E10E84" w:rsidRDefault="00E10E84" w:rsidP="00E10E84">
      <w:pPr>
        <w:rPr>
          <w:sz w:val="24"/>
          <w:szCs w:val="24"/>
        </w:rPr>
      </w:pPr>
    </w:p>
    <w:p w14:paraId="1F462CDD" w14:textId="77777777" w:rsidR="00EF745D" w:rsidRPr="005E7CC2" w:rsidRDefault="00EF745D" w:rsidP="00945A92">
      <w:pPr>
        <w:rPr>
          <w:sz w:val="24"/>
          <w:szCs w:val="24"/>
        </w:rPr>
      </w:pPr>
    </w:p>
    <w:p w14:paraId="6233D63A" w14:textId="77777777" w:rsidR="00BD0167" w:rsidRPr="00EF745D" w:rsidRDefault="00BD0167">
      <w:pPr>
        <w:ind w:right="-1"/>
        <w:jc w:val="both"/>
        <w:rPr>
          <w:rFonts w:ascii="Arial" w:hAnsi="Arial" w:cs="Arial"/>
          <w:sz w:val="24"/>
          <w:szCs w:val="24"/>
        </w:rPr>
      </w:pPr>
    </w:p>
    <w:sectPr w:rsidR="00BD0167" w:rsidRPr="00EF745D">
      <w:footerReference w:type="default" r:id="rId8"/>
      <w:pgSz w:w="11907" w:h="16834"/>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78B6A" w14:textId="77777777" w:rsidR="009C201E" w:rsidRDefault="009C201E">
      <w:r>
        <w:separator/>
      </w:r>
    </w:p>
  </w:endnote>
  <w:endnote w:type="continuationSeparator" w:id="0">
    <w:p w14:paraId="5B68C5EA" w14:textId="77777777" w:rsidR="009C201E" w:rsidRDefault="009C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0F6E4" w14:textId="77777777" w:rsidR="00AA2F2F" w:rsidRDefault="00AA2F2F" w:rsidP="00AA2F2F">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43B06" w14:textId="77777777" w:rsidR="009C201E" w:rsidRDefault="009C201E">
      <w:r>
        <w:separator/>
      </w:r>
    </w:p>
  </w:footnote>
  <w:footnote w:type="continuationSeparator" w:id="0">
    <w:p w14:paraId="31897AFE" w14:textId="77777777" w:rsidR="009C201E" w:rsidRDefault="009C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B5DEB"/>
    <w:multiLevelType w:val="hybridMultilevel"/>
    <w:tmpl w:val="B400EBF8"/>
    <w:lvl w:ilvl="0" w:tplc="FFFFFFFF">
      <w:start w:val="1"/>
      <w:numFmt w:val="bullet"/>
      <w:lvlText w:val=""/>
      <w:lvlJc w:val="left"/>
      <w:pPr>
        <w:tabs>
          <w:tab w:val="num" w:pos="1065"/>
        </w:tabs>
        <w:ind w:left="1065" w:hanging="357"/>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83776FB"/>
    <w:multiLevelType w:val="hybridMultilevel"/>
    <w:tmpl w:val="960A7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880423"/>
    <w:multiLevelType w:val="hybridMultilevel"/>
    <w:tmpl w:val="DFCE95A6"/>
    <w:lvl w:ilvl="0" w:tplc="FFFFFFFF">
      <w:start w:val="1"/>
      <w:numFmt w:val="bullet"/>
      <w:lvlText w:val=""/>
      <w:lvlJc w:val="left"/>
      <w:pPr>
        <w:tabs>
          <w:tab w:val="num" w:pos="1065"/>
        </w:tabs>
        <w:ind w:left="1065" w:hanging="357"/>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num w:numId="1" w16cid:durableId="92746167">
    <w:abstractNumId w:val="0"/>
  </w:num>
  <w:num w:numId="2" w16cid:durableId="2013484912">
    <w:abstractNumId w:val="2"/>
  </w:num>
  <w:num w:numId="3" w16cid:durableId="65741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3" w:dllVersion="517" w:checkStyle="1"/>
  <w:proofState w:spelling="clean" w:grammar="clean"/>
  <w:defaultTabStop w:val="765"/>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42"/>
    <w:rsid w:val="00034AA8"/>
    <w:rsid w:val="0004569A"/>
    <w:rsid w:val="000A498F"/>
    <w:rsid w:val="000C21E0"/>
    <w:rsid w:val="000D2004"/>
    <w:rsid w:val="000E72B5"/>
    <w:rsid w:val="001132F5"/>
    <w:rsid w:val="001222B9"/>
    <w:rsid w:val="001451BD"/>
    <w:rsid w:val="001563AF"/>
    <w:rsid w:val="00161AA2"/>
    <w:rsid w:val="001932D7"/>
    <w:rsid w:val="001C50A5"/>
    <w:rsid w:val="001F6582"/>
    <w:rsid w:val="001F7B81"/>
    <w:rsid w:val="002103B5"/>
    <w:rsid w:val="00244D8A"/>
    <w:rsid w:val="002500BF"/>
    <w:rsid w:val="00280325"/>
    <w:rsid w:val="0028761A"/>
    <w:rsid w:val="00287D65"/>
    <w:rsid w:val="002E1133"/>
    <w:rsid w:val="00321CDD"/>
    <w:rsid w:val="00323B05"/>
    <w:rsid w:val="00355F89"/>
    <w:rsid w:val="00360FE2"/>
    <w:rsid w:val="00392AB2"/>
    <w:rsid w:val="003B09DA"/>
    <w:rsid w:val="003B664F"/>
    <w:rsid w:val="00405A7B"/>
    <w:rsid w:val="00410093"/>
    <w:rsid w:val="00410B82"/>
    <w:rsid w:val="00411756"/>
    <w:rsid w:val="00451832"/>
    <w:rsid w:val="004556B6"/>
    <w:rsid w:val="00456A79"/>
    <w:rsid w:val="004675B4"/>
    <w:rsid w:val="00473B51"/>
    <w:rsid w:val="00482330"/>
    <w:rsid w:val="004E126F"/>
    <w:rsid w:val="00512942"/>
    <w:rsid w:val="00521999"/>
    <w:rsid w:val="00542093"/>
    <w:rsid w:val="00543A60"/>
    <w:rsid w:val="005565ED"/>
    <w:rsid w:val="00591582"/>
    <w:rsid w:val="005A0B1A"/>
    <w:rsid w:val="005E7CC2"/>
    <w:rsid w:val="00602FF3"/>
    <w:rsid w:val="00604CC0"/>
    <w:rsid w:val="00621FD8"/>
    <w:rsid w:val="006256A0"/>
    <w:rsid w:val="00660618"/>
    <w:rsid w:val="00693614"/>
    <w:rsid w:val="0069434D"/>
    <w:rsid w:val="006F5E82"/>
    <w:rsid w:val="007B3258"/>
    <w:rsid w:val="007D7964"/>
    <w:rsid w:val="007E181F"/>
    <w:rsid w:val="007E4F76"/>
    <w:rsid w:val="008010D7"/>
    <w:rsid w:val="00805EA4"/>
    <w:rsid w:val="008234CB"/>
    <w:rsid w:val="008424E0"/>
    <w:rsid w:val="00850D9F"/>
    <w:rsid w:val="00871E9C"/>
    <w:rsid w:val="00883C42"/>
    <w:rsid w:val="008A71CA"/>
    <w:rsid w:val="008B143A"/>
    <w:rsid w:val="008C3882"/>
    <w:rsid w:val="00945A92"/>
    <w:rsid w:val="00964897"/>
    <w:rsid w:val="00970982"/>
    <w:rsid w:val="0097711F"/>
    <w:rsid w:val="009954DE"/>
    <w:rsid w:val="009B10EC"/>
    <w:rsid w:val="009B351A"/>
    <w:rsid w:val="009C011B"/>
    <w:rsid w:val="009C201E"/>
    <w:rsid w:val="009E74B3"/>
    <w:rsid w:val="00A120FC"/>
    <w:rsid w:val="00A439E1"/>
    <w:rsid w:val="00A6692E"/>
    <w:rsid w:val="00A71A12"/>
    <w:rsid w:val="00A75740"/>
    <w:rsid w:val="00A815E6"/>
    <w:rsid w:val="00AA2F2F"/>
    <w:rsid w:val="00AA3EF3"/>
    <w:rsid w:val="00AA62F3"/>
    <w:rsid w:val="00AE1D98"/>
    <w:rsid w:val="00AE5AE3"/>
    <w:rsid w:val="00AE635D"/>
    <w:rsid w:val="00B414E5"/>
    <w:rsid w:val="00B707DA"/>
    <w:rsid w:val="00BA30A4"/>
    <w:rsid w:val="00BC74AA"/>
    <w:rsid w:val="00BD0167"/>
    <w:rsid w:val="00C14C0E"/>
    <w:rsid w:val="00C34835"/>
    <w:rsid w:val="00C57AD9"/>
    <w:rsid w:val="00C63CE6"/>
    <w:rsid w:val="00C94079"/>
    <w:rsid w:val="00CA09C9"/>
    <w:rsid w:val="00CB3C77"/>
    <w:rsid w:val="00CE4982"/>
    <w:rsid w:val="00CF7C1B"/>
    <w:rsid w:val="00D01D25"/>
    <w:rsid w:val="00D44793"/>
    <w:rsid w:val="00D5166F"/>
    <w:rsid w:val="00D53EAE"/>
    <w:rsid w:val="00D71EB0"/>
    <w:rsid w:val="00D957AE"/>
    <w:rsid w:val="00D978F8"/>
    <w:rsid w:val="00DA150E"/>
    <w:rsid w:val="00DB5863"/>
    <w:rsid w:val="00DC0562"/>
    <w:rsid w:val="00DE7A06"/>
    <w:rsid w:val="00E10E84"/>
    <w:rsid w:val="00E110A9"/>
    <w:rsid w:val="00E15697"/>
    <w:rsid w:val="00E21C3F"/>
    <w:rsid w:val="00E463FF"/>
    <w:rsid w:val="00E506FC"/>
    <w:rsid w:val="00E703E4"/>
    <w:rsid w:val="00E9114D"/>
    <w:rsid w:val="00EC0CF0"/>
    <w:rsid w:val="00EC79C6"/>
    <w:rsid w:val="00EF745D"/>
    <w:rsid w:val="00F01759"/>
    <w:rsid w:val="00F27D57"/>
    <w:rsid w:val="00F3427E"/>
    <w:rsid w:val="00F356CA"/>
    <w:rsid w:val="00F43090"/>
    <w:rsid w:val="00F44B15"/>
    <w:rsid w:val="00F50B87"/>
    <w:rsid w:val="00F53A44"/>
    <w:rsid w:val="00F831DA"/>
    <w:rsid w:val="00FA6D97"/>
    <w:rsid w:val="00FC1A14"/>
    <w:rsid w:val="00FC35A1"/>
    <w:rsid w:val="00FD49F5"/>
    <w:rsid w:val="00FD5506"/>
    <w:rsid w:val="00FF7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78AFD"/>
  <w15:chartTrackingRefBased/>
  <w15:docId w15:val="{452ECB58-C4B2-4DB3-B713-621D018C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qFormat/>
    <w:pPr>
      <w:keepNext/>
      <w:outlineLvl w:val="2"/>
    </w:pPr>
    <w:rPr>
      <w:i/>
      <w:sz w:val="24"/>
    </w:rPr>
  </w:style>
  <w:style w:type="paragraph" w:styleId="Titolo4">
    <w:name w:val="heading 4"/>
    <w:basedOn w:val="Normale"/>
    <w:next w:val="Normale"/>
    <w:qFormat/>
    <w:pPr>
      <w:keepNext/>
      <w:ind w:firstLine="708"/>
      <w:outlineLvl w:val="3"/>
    </w:pPr>
    <w:rPr>
      <w:rFonts w:ascii="Arial" w:hAnsi="Arial"/>
      <w:b/>
      <w:sz w:val="28"/>
    </w:rPr>
  </w:style>
  <w:style w:type="paragraph" w:styleId="Titolo6">
    <w:name w:val="heading 6"/>
    <w:basedOn w:val="Normale"/>
    <w:next w:val="Normale"/>
    <w:qFormat/>
    <w:pPr>
      <w:keepNext/>
      <w:outlineLvl w:val="5"/>
    </w:pPr>
    <w:rPr>
      <w:color w:val="FF0000"/>
      <w:sz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Rientrocorpodeltesto">
    <w:name w:val="Body Text Indent"/>
    <w:basedOn w:val="Normale"/>
    <w:semiHidden/>
    <w:pPr>
      <w:ind w:firstLine="709"/>
    </w:pPr>
    <w:rPr>
      <w:rFonts w:ascii="Arial" w:hAnsi="Arial"/>
      <w:sz w:val="24"/>
    </w:rPr>
  </w:style>
  <w:style w:type="paragraph" w:styleId="Rientrocorpodeltesto2">
    <w:name w:val="Body Text Indent 2"/>
    <w:basedOn w:val="Normale"/>
    <w:semiHidden/>
    <w:pPr>
      <w:ind w:firstLine="709"/>
      <w:jc w:val="both"/>
    </w:pPr>
    <w:rPr>
      <w:rFonts w:ascii="Arial" w:hAnsi="Arial"/>
      <w:sz w:val="24"/>
    </w:rPr>
  </w:style>
  <w:style w:type="paragraph" w:styleId="Rientrocorpodeltesto3">
    <w:name w:val="Body Text Indent 3"/>
    <w:basedOn w:val="Normale"/>
    <w:semiHidden/>
    <w:pPr>
      <w:ind w:right="-143" w:firstLine="709"/>
    </w:pPr>
    <w:rPr>
      <w:rFonts w:ascii="Comic Sans MS" w:hAnsi="Comic Sans MS"/>
      <w:sz w:val="22"/>
    </w:rPr>
  </w:style>
  <w:style w:type="paragraph" w:styleId="Corpotesto">
    <w:name w:val="Body Text"/>
    <w:basedOn w:val="Normale"/>
    <w:semiHidden/>
    <w:rPr>
      <w:rFonts w:ascii="Arial" w:hAnsi="Arial"/>
      <w:sz w:val="26"/>
    </w:rPr>
  </w:style>
  <w:style w:type="paragraph" w:styleId="Corpodeltesto2">
    <w:name w:val="Body Text 2"/>
    <w:basedOn w:val="Normale"/>
    <w:semiHidden/>
    <w:rPr>
      <w:rFonts w:ascii="Arial" w:hAnsi="Arial"/>
      <w:sz w:val="28"/>
    </w:rPr>
  </w:style>
  <w:style w:type="paragraph" w:styleId="Corpodeltesto3">
    <w:name w:val="Body Text 3"/>
    <w:basedOn w:val="Normale"/>
    <w:semiHidden/>
    <w:pPr>
      <w:ind w:right="-1"/>
    </w:pPr>
    <w:rPr>
      <w:rFonts w:ascii="Arial" w:hAnsi="Arial" w:cs="Arial"/>
      <w:sz w:val="24"/>
    </w:rPr>
  </w:style>
  <w:style w:type="paragraph" w:styleId="Mappadocumento">
    <w:name w:val="Document Map"/>
    <w:basedOn w:val="Normale"/>
    <w:semiHidden/>
    <w:pPr>
      <w:shd w:val="clear" w:color="auto" w:fill="000080"/>
    </w:pPr>
    <w:rPr>
      <w:rFonts w:ascii="Tahoma" w:hAnsi="Tahoma"/>
    </w:rPr>
  </w:style>
  <w:style w:type="character" w:customStyle="1" w:styleId="PidipaginaCarattere">
    <w:name w:val="Piè di pagina Carattere"/>
    <w:link w:val="Pidipagina"/>
    <w:uiPriority w:val="99"/>
    <w:rsid w:val="00280325"/>
  </w:style>
  <w:style w:type="paragraph" w:styleId="Testofumetto">
    <w:name w:val="Balloon Text"/>
    <w:basedOn w:val="Normale"/>
    <w:link w:val="TestofumettoCarattere"/>
    <w:uiPriority w:val="99"/>
    <w:semiHidden/>
    <w:unhideWhenUsed/>
    <w:rsid w:val="00E9114D"/>
    <w:rPr>
      <w:rFonts w:ascii="Tahoma" w:hAnsi="Tahoma" w:cs="Tahoma"/>
      <w:sz w:val="16"/>
      <w:szCs w:val="16"/>
    </w:rPr>
  </w:style>
  <w:style w:type="character" w:customStyle="1" w:styleId="TestofumettoCarattere">
    <w:name w:val="Testo fumetto Carattere"/>
    <w:link w:val="Testofumetto"/>
    <w:uiPriority w:val="99"/>
    <w:semiHidden/>
    <w:rsid w:val="00E9114D"/>
    <w:rPr>
      <w:rFonts w:ascii="Tahoma" w:hAnsi="Tahoma" w:cs="Tahoma"/>
      <w:sz w:val="16"/>
      <w:szCs w:val="16"/>
    </w:rPr>
  </w:style>
  <w:style w:type="paragraph" w:customStyle="1" w:styleId="Rientrocorpodeltesto21">
    <w:name w:val="Rientro corpo del testo 21"/>
    <w:basedOn w:val="Normale"/>
    <w:rsid w:val="008A71CA"/>
    <w:pPr>
      <w:tabs>
        <w:tab w:val="left" w:pos="9639"/>
      </w:tabs>
      <w:ind w:right="-423" w:firstLine="567"/>
    </w:pPr>
    <w:rPr>
      <w:rFonts w:ascii="Arial" w:hAnsi="Arial"/>
      <w:sz w:val="24"/>
    </w:rPr>
  </w:style>
  <w:style w:type="character" w:styleId="Collegamentoipertestuale">
    <w:name w:val="Hyperlink"/>
    <w:uiPriority w:val="99"/>
    <w:unhideWhenUsed/>
    <w:rsid w:val="009E74B3"/>
    <w:rPr>
      <w:color w:val="0000FF"/>
      <w:u w:val="single"/>
    </w:rPr>
  </w:style>
  <w:style w:type="character" w:styleId="Rimandocommento">
    <w:name w:val="annotation reference"/>
    <w:uiPriority w:val="99"/>
    <w:semiHidden/>
    <w:unhideWhenUsed/>
    <w:rsid w:val="00E10E84"/>
    <w:rPr>
      <w:sz w:val="16"/>
      <w:szCs w:val="16"/>
    </w:rPr>
  </w:style>
  <w:style w:type="paragraph" w:styleId="Testocommento">
    <w:name w:val="annotation text"/>
    <w:basedOn w:val="Normale"/>
    <w:link w:val="TestocommentoCarattere"/>
    <w:uiPriority w:val="99"/>
    <w:semiHidden/>
    <w:unhideWhenUsed/>
    <w:rsid w:val="00E10E84"/>
  </w:style>
  <w:style w:type="character" w:customStyle="1" w:styleId="TestocommentoCarattere">
    <w:name w:val="Testo commento Carattere"/>
    <w:basedOn w:val="Carpredefinitoparagrafo"/>
    <w:link w:val="Testocommento"/>
    <w:uiPriority w:val="99"/>
    <w:semiHidden/>
    <w:rsid w:val="00E10E84"/>
  </w:style>
  <w:style w:type="paragraph" w:styleId="Soggettocommento">
    <w:name w:val="annotation subject"/>
    <w:basedOn w:val="Testocommento"/>
    <w:next w:val="Testocommento"/>
    <w:link w:val="SoggettocommentoCarattere"/>
    <w:uiPriority w:val="99"/>
    <w:semiHidden/>
    <w:unhideWhenUsed/>
    <w:rsid w:val="00E10E84"/>
    <w:rPr>
      <w:b/>
      <w:bCs/>
    </w:rPr>
  </w:style>
  <w:style w:type="character" w:customStyle="1" w:styleId="SoggettocommentoCarattere">
    <w:name w:val="Soggetto commento Carattere"/>
    <w:link w:val="Soggettocommento"/>
    <w:uiPriority w:val="99"/>
    <w:semiHidden/>
    <w:rsid w:val="00E10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59117">
      <w:bodyDiv w:val="1"/>
      <w:marLeft w:val="0"/>
      <w:marRight w:val="0"/>
      <w:marTop w:val="0"/>
      <w:marBottom w:val="0"/>
      <w:divBdr>
        <w:top w:val="none" w:sz="0" w:space="0" w:color="auto"/>
        <w:left w:val="none" w:sz="0" w:space="0" w:color="auto"/>
        <w:bottom w:val="none" w:sz="0" w:space="0" w:color="auto"/>
        <w:right w:val="none" w:sz="0" w:space="0" w:color="auto"/>
      </w:divBdr>
    </w:div>
    <w:div w:id="1109004254">
      <w:bodyDiv w:val="1"/>
      <w:marLeft w:val="0"/>
      <w:marRight w:val="0"/>
      <w:marTop w:val="0"/>
      <w:marBottom w:val="0"/>
      <w:divBdr>
        <w:top w:val="none" w:sz="0" w:space="0" w:color="auto"/>
        <w:left w:val="none" w:sz="0" w:space="0" w:color="auto"/>
        <w:bottom w:val="none" w:sz="0" w:space="0" w:color="auto"/>
        <w:right w:val="none" w:sz="0" w:space="0" w:color="auto"/>
      </w:divBdr>
    </w:div>
    <w:div w:id="13349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51507-A510-4CA6-8B81-867A4875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369</Words>
  <Characters>2104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Proposta di adozione del testo:</vt:lpstr>
    </vt:vector>
  </TitlesOfParts>
  <Company>Hoepli</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di adozione del testo:</dc:title>
  <dc:subject/>
  <dc:creator>Marco Sbrozi</dc:creator>
  <cp:keywords/>
  <cp:lastModifiedBy>Ami Ste</cp:lastModifiedBy>
  <cp:revision>4</cp:revision>
  <cp:lastPrinted>2003-11-07T17:21:00Z</cp:lastPrinted>
  <dcterms:created xsi:type="dcterms:W3CDTF">2024-07-29T14:34:00Z</dcterms:created>
  <dcterms:modified xsi:type="dcterms:W3CDTF">2024-07-29T14:41:00Z</dcterms:modified>
</cp:coreProperties>
</file>